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sz w:val="36"/>
        </w:rPr>
        <w:t>퇴직금 등 지급기일 연장 합의서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근로자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성명 / 생년월일 / 직종</w:t>
            </w:r>
          </w:p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기관(사용자)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기관명 / 대표자</w:t>
            </w:r>
          </w:p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퇴직일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 xml:space="preserve">    년   월   일</w:t>
            </w:r>
          </w:p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원래 지급 기한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퇴직일부터 14일 이내 —     년   월   일</w:t>
            </w:r>
          </w:p>
        </w:tc>
      </w:tr>
    </w:tbl>
    <w:p>
      <w:r>
        <w:rPr>
          <w:rFonts w:ascii="맑은 고딕" w:hAnsi="맑은 고딕" w:eastAsia="맑은 고딕"/>
          <w:b/>
          <w:sz w:val="21"/>
        </w:rPr>
        <w:t>지급할 금품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3213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금액(원)</w:t>
            </w:r>
          </w:p>
        </w:tc>
        <w:tc>
          <w:tcPr>
            <w:tcW w:type="dxa" w:w="3213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연장 지급일</w:t>
            </w:r>
          </w:p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20"/>
              </w:rPr>
              <w:t>퇴직금</w:t>
            </w:r>
          </w:p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20"/>
              </w:rPr>
              <w:t>미지급 임금</w:t>
            </w:r>
          </w:p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20"/>
              </w:rPr>
              <w:t>연차 미사용 수당</w:t>
            </w:r>
          </w:p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20"/>
              </w:rPr>
              <w:t>기타</w:t>
            </w:r>
          </w:p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연장하는 특별한 사정</w:t>
            </w:r>
          </w:p>
        </w:tc>
        <w:tc>
          <w:tcPr>
            <w:tcW w:type="dxa" w:w="7257"/>
          </w:tcPr>
          <w:p/>
          <w:p/>
          <w:p/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지급 방법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퇴직금은 근로자가 지정한 개인형퇴직연금(IRP) 계좌로 이전이 원칙(55세 이후 퇴직 등 예외) — 계좌:</w:t>
            </w:r>
          </w:p>
        </w:tc>
      </w:tr>
    </w:tbl>
    <w:p>
      <w:r>
        <w:rPr>
          <w:rFonts w:ascii="맑은 고딕" w:hAnsi="맑은 고딕" w:eastAsia="맑은 고딕"/>
          <w:b w:val="0"/>
          <w:sz w:val="21"/>
        </w:rPr>
        <w:t>근로자와 사용자는 위 금품의 지급기일을 위와 같이 연장하기로 자유로운 의사에 따라 합의합니다.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합의일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 xml:space="preserve">    년   월   일 (원래 지급 기한 안에 합의)</w:t>
            </w:r>
          </w:p>
        </w:tc>
      </w:tr>
    </w:tbl>
    <w:p/>
    <w:p>
      <w:pPr>
        <w:jc w:val="right"/>
      </w:pPr>
      <w:r>
        <w:rPr>
          <w:rFonts w:ascii="맑은 고딕" w:hAnsi="맑은 고딕" w:eastAsia="맑은 고딕"/>
          <w:b w:val="0"/>
          <w:sz w:val="22"/>
        </w:rPr>
        <w:t>근로자            (서명 또는 인)</w:t>
      </w:r>
    </w:p>
    <w:p>
      <w:pPr>
        <w:jc w:val="right"/>
      </w:pPr>
      <w:r>
        <w:rPr>
          <w:rFonts w:ascii="맑은 고딕" w:hAnsi="맑은 고딕" w:eastAsia="맑은 고딕"/>
          <w:b w:val="0"/>
          <w:sz w:val="22"/>
        </w:rPr>
        <w:t>사용자(기관장)            (서명 또는 인)</w:t>
      </w:r>
    </w:p>
    <w:p/>
    <w:p>
      <w:pPr>
        <w:jc w:val="right"/>
      </w:pPr>
      <w:r>
        <w:rPr>
          <w:rFonts w:ascii="맑은 고딕" w:hAnsi="맑은 고딕" w:eastAsia="맑은 고딕"/>
          <w:b w:val="0"/>
          <w:color w:val="8A8F98"/>
          <w:sz w:val="16"/>
        </w:rPr>
        <w:t>근거: 근로자퇴직급여 보장법 제9조 · 근로기준법 제36조(금품 청산) · 케어플로우 서식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퇴직금 등 지급기일 연장 합의서</dc:title>
  <dc:subject/>
  <dc:creator>케어플로우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